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F0EC" w14:textId="70C52F1F" w:rsidR="005201D8" w:rsidRDefault="0075742C" w:rsidP="0032455C">
      <w:pPr>
        <w:pStyle w:val="Rubrik1"/>
      </w:pPr>
      <w:r>
        <w:t>Checklista</w:t>
      </w:r>
    </w:p>
    <w:p w14:paraId="47A707AA" w14:textId="4DDF7BB6" w:rsidR="00605A88" w:rsidRPr="004A4CEA" w:rsidRDefault="00605A88" w:rsidP="008163F4">
      <w:pPr>
        <w:rPr>
          <w:b/>
          <w:bCs/>
          <w:sz w:val="40"/>
          <w:szCs w:val="48"/>
        </w:rPr>
      </w:pPr>
      <w:r w:rsidRPr="004A4CEA">
        <w:rPr>
          <w:b/>
          <w:bCs/>
          <w:sz w:val="40"/>
          <w:szCs w:val="48"/>
        </w:rPr>
        <w:t>för hur verksamheter i vården ska säkerställa informationskravet i biobankslagen (2023:38)</w:t>
      </w:r>
    </w:p>
    <w:p w14:paraId="790DC47B" w14:textId="77777777" w:rsidR="00F76C0A" w:rsidRPr="00F76C0A" w:rsidRDefault="00F76C0A" w:rsidP="00F76C0A">
      <w:pPr>
        <w:rPr>
          <w:i/>
          <w:sz w:val="24"/>
          <w:szCs w:val="32"/>
        </w:rPr>
      </w:pPr>
      <w:bookmarkStart w:id="0" w:name="_Toc134711180"/>
      <w:bookmarkStart w:id="1" w:name="_Toc135038329"/>
      <w:r w:rsidRPr="00F76C0A">
        <w:rPr>
          <w:i/>
          <w:sz w:val="24"/>
          <w:szCs w:val="32"/>
        </w:rPr>
        <w:t>Om en patient/provgivare samtycker till vård enligt patientlagen (2014:821) eller tandvårdslagen (1985:125) och har fått information enligt kraven i biobankslagen</w:t>
      </w:r>
      <w:r w:rsidRPr="00F76C0A">
        <w:rPr>
          <w:sz w:val="24"/>
          <w:szCs w:val="32"/>
        </w:rPr>
        <w:t xml:space="preserve"> </w:t>
      </w:r>
      <w:r w:rsidRPr="00F76C0A">
        <w:rPr>
          <w:i/>
          <w:sz w:val="24"/>
          <w:szCs w:val="32"/>
        </w:rPr>
        <w:t>krävs inte ett särskilt samtycke för att få bevara prov i en biobank.</w:t>
      </w:r>
    </w:p>
    <w:p w14:paraId="2037A74F" w14:textId="77777777" w:rsidR="00F76C0A" w:rsidRPr="00F76C0A" w:rsidRDefault="00F76C0A" w:rsidP="00F76C0A">
      <w:pPr>
        <w:rPr>
          <w:sz w:val="24"/>
          <w:szCs w:val="32"/>
        </w:rPr>
      </w:pPr>
      <w:r w:rsidRPr="00F76C0A">
        <w:rPr>
          <w:sz w:val="24"/>
          <w:szCs w:val="32"/>
        </w:rPr>
        <w:t>Checklistan är framtagen för att ge stöd åt verksamheter inom hälso- och sjukvården att uppfylla biobankslagens (2023:38) krav på information till patienter/provgivare. Det är huvudmannen för biobanken (vårdgivaren) som ansvarar för att det finns förutsättningar för att informationskravet uppfylls.</w:t>
      </w:r>
    </w:p>
    <w:p w14:paraId="121A48A9" w14:textId="77777777" w:rsidR="00F76C0A" w:rsidRPr="00F76C0A" w:rsidRDefault="00F76C0A" w:rsidP="00F76C0A">
      <w:pPr>
        <w:spacing w:after="360"/>
        <w:rPr>
          <w:sz w:val="24"/>
          <w:szCs w:val="32"/>
        </w:rPr>
      </w:pPr>
      <w:r w:rsidRPr="00F76C0A">
        <w:rPr>
          <w:sz w:val="24"/>
          <w:szCs w:val="32"/>
        </w:rPr>
        <w:t>Biobank Sverige rekommenderar att ansvarig chef utser en person/er som ansvarar för att regelbunden översyn av dokumenten genomförs samt att verksamheten följer checklistan. Biobank Sverige rekommenderar att checklistan ses över varje kvartal.</w:t>
      </w:r>
      <w:bookmarkEnd w:id="0"/>
      <w:bookmarkEnd w:id="1"/>
    </w:p>
    <w:tbl>
      <w:tblPr>
        <w:tblStyle w:val="Tabellrutnt"/>
        <w:tblW w:w="9642" w:type="dxa"/>
        <w:tblInd w:w="-5" w:type="dxa"/>
        <w:tblLook w:val="04A0" w:firstRow="1" w:lastRow="0" w:firstColumn="1" w:lastColumn="0" w:noHBand="0" w:noVBand="1"/>
      </w:tblPr>
      <w:tblGrid>
        <w:gridCol w:w="421"/>
        <w:gridCol w:w="2793"/>
        <w:gridCol w:w="2312"/>
        <w:gridCol w:w="902"/>
        <w:gridCol w:w="1223"/>
        <w:gridCol w:w="1991"/>
      </w:tblGrid>
      <w:tr w:rsidR="001257DD" w14:paraId="7A62FC3C" w14:textId="77777777" w:rsidTr="004F0769">
        <w:trPr>
          <w:cantSplit/>
          <w:tblHeader/>
        </w:trPr>
        <w:tc>
          <w:tcPr>
            <w:tcW w:w="5526" w:type="dxa"/>
            <w:gridSpan w:val="3"/>
            <w:shd w:val="clear" w:color="auto" w:fill="E9E9E9"/>
          </w:tcPr>
          <w:p w14:paraId="4981BFDA" w14:textId="77777777" w:rsidR="001257DD" w:rsidRDefault="001257DD" w:rsidP="0075742C">
            <w:pPr>
              <w:pStyle w:val="Tabell-titelbaseradpR2"/>
            </w:pPr>
            <w:r>
              <w:t>Aktivitet</w:t>
            </w:r>
          </w:p>
        </w:tc>
        <w:tc>
          <w:tcPr>
            <w:tcW w:w="2125" w:type="dxa"/>
            <w:gridSpan w:val="2"/>
            <w:shd w:val="clear" w:color="auto" w:fill="E9E9E9"/>
          </w:tcPr>
          <w:p w14:paraId="11A9EF4E" w14:textId="46AC746F" w:rsidR="001257DD" w:rsidRDefault="00074BFD" w:rsidP="0075742C">
            <w:pPr>
              <w:pStyle w:val="Tabell-titelbaseradpR2"/>
            </w:pPr>
            <w:r>
              <w:t xml:space="preserve">Ansvarig </w:t>
            </w:r>
            <w:r w:rsidRPr="004471D3">
              <w:rPr>
                <w:b w:val="0"/>
                <w:bCs w:val="0"/>
                <w:sz w:val="24"/>
                <w:szCs w:val="28"/>
              </w:rPr>
              <w:t>(namn)</w:t>
            </w:r>
          </w:p>
        </w:tc>
        <w:tc>
          <w:tcPr>
            <w:tcW w:w="1991" w:type="dxa"/>
            <w:shd w:val="clear" w:color="auto" w:fill="E9E9E9"/>
          </w:tcPr>
          <w:p w14:paraId="64285573" w14:textId="33C93BD4" w:rsidR="001257DD" w:rsidRDefault="00074BFD" w:rsidP="0075742C">
            <w:pPr>
              <w:pStyle w:val="Tabell-titelbaseradpR2"/>
            </w:pPr>
            <w:r>
              <w:t xml:space="preserve">Utfört </w:t>
            </w:r>
            <w:r w:rsidRPr="004471D3">
              <w:rPr>
                <w:b w:val="0"/>
                <w:bCs w:val="0"/>
                <w:sz w:val="24"/>
                <w:szCs w:val="28"/>
              </w:rPr>
              <w:t>(datum)</w:t>
            </w:r>
          </w:p>
        </w:tc>
      </w:tr>
      <w:tr w:rsidR="00B605B1" w14:paraId="2E5FDBC4" w14:textId="77777777" w:rsidTr="004F0769">
        <w:trPr>
          <w:cantSplit/>
        </w:trPr>
        <w:sdt>
          <w:sdtPr>
            <w:id w:val="19271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6F4E9082" w14:textId="4D4C678E" w:rsidR="00B605B1" w:rsidRPr="00B53E45" w:rsidRDefault="00EC31A1" w:rsidP="00B53E45">
                <w:pPr>
                  <w:pStyle w:val="Flt-sva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609DA420" w14:textId="77777777" w:rsidR="00EB02ED" w:rsidRDefault="00EB02ED" w:rsidP="002E4BBA">
            <w:r w:rsidRPr="00672448">
              <w:rPr>
                <w:b/>
                <w:bCs/>
                <w:i/>
              </w:rPr>
              <w:t>Kallelsetexter</w:t>
            </w:r>
            <w:r w:rsidRPr="00672448">
              <w:rPr>
                <w:b/>
                <w:bCs/>
              </w:rPr>
              <w:t>.</w:t>
            </w:r>
            <w:r w:rsidRPr="000C19FB">
              <w:t xml:space="preserve"> Säkerställ att information om att prov som tas i vården kan komma att sparas i en biobank finns ink</w:t>
            </w:r>
            <w:r>
              <w:t>luderad i kallelsetexter</w:t>
            </w:r>
            <w:r w:rsidRPr="000C19FB">
              <w:t>.</w:t>
            </w:r>
          </w:p>
          <w:p w14:paraId="041607BB" w14:textId="77777777" w:rsidR="005F2A6A" w:rsidRDefault="00EB02ED" w:rsidP="005F2A6A">
            <w:pPr>
              <w:pStyle w:val="Liststycke"/>
              <w:spacing w:after="0"/>
            </w:pPr>
            <w:r>
              <w:t>Dokument D2. Kallelsetexter</w:t>
            </w:r>
          </w:p>
          <w:p w14:paraId="0ADFC414" w14:textId="1DBD5942" w:rsidR="00B605B1" w:rsidRPr="00B53E45" w:rsidRDefault="00000000" w:rsidP="005F2A6A">
            <w:hyperlink r:id="rId8" w:history="1">
              <w:r w:rsidR="00EB02ED" w:rsidRPr="00672448">
                <w:rPr>
                  <w:rStyle w:val="Hyperlnk"/>
                </w:rPr>
                <w:t>biobanksverige.se/dokument/</w:t>
              </w:r>
            </w:hyperlink>
          </w:p>
        </w:tc>
        <w:tc>
          <w:tcPr>
            <w:tcW w:w="2125" w:type="dxa"/>
            <w:gridSpan w:val="2"/>
          </w:tcPr>
          <w:p w14:paraId="340AAE5C" w14:textId="1D0FD534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621DDACD" w14:textId="33DFD5C3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4902BAF1" w14:textId="77777777" w:rsidTr="004F0769">
        <w:trPr>
          <w:cantSplit/>
        </w:trPr>
        <w:sdt>
          <w:sdtPr>
            <w:id w:val="-98601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000710CB" w14:textId="404CA59B" w:rsidR="00B605B1" w:rsidRPr="00B53E45" w:rsidRDefault="00B605B1" w:rsidP="00B53E45">
                <w:pPr>
                  <w:pStyle w:val="Flt-sva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59BF2338" w14:textId="77777777" w:rsidR="00B03EED" w:rsidRPr="00EC3785" w:rsidRDefault="00B03EED" w:rsidP="00947F7D">
            <w:r w:rsidRPr="00EC3785">
              <w:rPr>
                <w:b/>
                <w:bCs/>
                <w:i/>
              </w:rPr>
              <w:t>Information på webbplatser till patienter/provgivare.</w:t>
            </w:r>
            <w:r>
              <w:t xml:space="preserve"> </w:t>
            </w:r>
            <w:r w:rsidRPr="00EC3785">
              <w:t xml:space="preserve">Vid frågor om prov i biobank hänvisa patienter/provgivare till information på 1177.se.  </w:t>
            </w:r>
          </w:p>
          <w:p w14:paraId="1C9AFA7B" w14:textId="77777777" w:rsidR="00AB5168" w:rsidRDefault="00B03EED" w:rsidP="007861FC">
            <w:pPr>
              <w:pStyle w:val="Liststycke"/>
              <w:spacing w:after="0"/>
            </w:pPr>
            <w:r>
              <w:t>Webbsidan ”Prover i vården sparas” på 1177.se</w:t>
            </w:r>
          </w:p>
          <w:p w14:paraId="25797058" w14:textId="77777777" w:rsidR="00AB5168" w:rsidRPr="005F2A6A" w:rsidRDefault="00000000" w:rsidP="005F2A6A">
            <w:pPr>
              <w:spacing w:after="0"/>
              <w:ind w:left="357" w:hanging="357"/>
              <w:rPr>
                <w:rStyle w:val="Hyperlnk"/>
                <w:rFonts w:cstheme="minorBidi"/>
                <w:color w:val="auto"/>
                <w:u w:val="none"/>
              </w:rPr>
            </w:pPr>
            <w:hyperlink r:id="rId9" w:history="1">
              <w:r w:rsidR="00B03EED" w:rsidRPr="00D009E4">
                <w:rPr>
                  <w:rStyle w:val="Hyperlnk"/>
                </w:rPr>
                <w:t>1177.se – Prover i vården sparas</w:t>
              </w:r>
            </w:hyperlink>
          </w:p>
          <w:p w14:paraId="486A17DF" w14:textId="33963B9B" w:rsidR="00B03EED" w:rsidRPr="005F2A6A" w:rsidRDefault="00B03EED" w:rsidP="005F2A6A">
            <w:pPr>
              <w:spacing w:before="0"/>
              <w:ind w:left="357" w:right="-113" w:hanging="357"/>
              <w:rPr>
                <w:rStyle w:val="Hyperlnk"/>
                <w:rFonts w:cstheme="minorBidi"/>
                <w:color w:val="auto"/>
                <w:u w:val="none"/>
              </w:rPr>
            </w:pPr>
            <w:r w:rsidRPr="00D009E4">
              <w:fldChar w:fldCharType="begin"/>
            </w:r>
            <w:r w:rsidRPr="00D009E4">
              <w:instrText>HYPERLINK "https://www.1177.se/sv-se-x-ll/Halland/other-languages/other-languages/regler-och-rattigheter---andra-sprak/prover-i-varden-sparas-latt-svenska/"</w:instrText>
            </w:r>
            <w:r w:rsidRPr="00D009E4">
              <w:fldChar w:fldCharType="separate"/>
            </w:r>
            <w:r w:rsidRPr="00D009E4">
              <w:rPr>
                <w:rStyle w:val="Hyperlnk"/>
              </w:rPr>
              <w:t>1177.se – Prover i vården sparas – lättläst</w:t>
            </w:r>
          </w:p>
          <w:p w14:paraId="2922A878" w14:textId="510B36D6" w:rsidR="00B03EED" w:rsidRPr="00672448" w:rsidRDefault="00B03EED" w:rsidP="00AB5168">
            <w:pPr>
              <w:pStyle w:val="Liststycke"/>
              <w:rPr>
                <w:i/>
              </w:rPr>
            </w:pPr>
            <w:r w:rsidRPr="00D009E4">
              <w:fldChar w:fldCharType="end"/>
            </w:r>
            <w:r w:rsidR="00AB5168">
              <w:t>B</w:t>
            </w:r>
            <w:r>
              <w:t>iobank Sveriges webbplats</w:t>
            </w:r>
          </w:p>
          <w:p w14:paraId="1CD0BB54" w14:textId="31A5D0FF" w:rsidR="00B605B1" w:rsidRPr="00B53E45" w:rsidRDefault="00000000" w:rsidP="00C35C91">
            <w:pPr>
              <w:ind w:left="357" w:hanging="357"/>
            </w:pPr>
            <w:hyperlink r:id="rId10" w:history="1">
              <w:r w:rsidR="00B03EED" w:rsidRPr="00672448">
                <w:rPr>
                  <w:rStyle w:val="Hyperlnk"/>
                </w:rPr>
                <w:t>biobanksverige.se</w:t>
              </w:r>
            </w:hyperlink>
          </w:p>
        </w:tc>
        <w:tc>
          <w:tcPr>
            <w:tcW w:w="2125" w:type="dxa"/>
            <w:gridSpan w:val="2"/>
          </w:tcPr>
          <w:p w14:paraId="0EAF53F8" w14:textId="61FE2AB2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77350B63" w14:textId="1AFD835F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15A3728D" w14:textId="77777777" w:rsidTr="004F0769">
        <w:trPr>
          <w:cantSplit/>
        </w:trPr>
        <w:sdt>
          <w:sdtPr>
            <w:id w:val="-21130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0344594B" w14:textId="7E04E168" w:rsidR="00B605B1" w:rsidRPr="00B53E45" w:rsidRDefault="00B605B1" w:rsidP="00B53E45">
                <w:pPr>
                  <w:pStyle w:val="Flt-sva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6E4A578C" w14:textId="77777777" w:rsidR="002E4BBA" w:rsidRPr="00672448" w:rsidRDefault="002E4BBA" w:rsidP="00947F7D">
            <w:r>
              <w:rPr>
                <w:b/>
                <w:bCs/>
                <w:i/>
              </w:rPr>
              <w:t>Digital affisch till patienter/provgivare</w:t>
            </w:r>
            <w:r w:rsidRPr="00672448">
              <w:rPr>
                <w:b/>
                <w:bCs/>
                <w:i/>
              </w:rPr>
              <w:t>.</w:t>
            </w:r>
            <w:r>
              <w:rPr>
                <w:i/>
              </w:rPr>
              <w:t xml:space="preserve"> </w:t>
            </w:r>
            <w:r w:rsidRPr="00672448">
              <w:rPr>
                <w:iCs/>
              </w:rPr>
              <w:t>S</w:t>
            </w:r>
            <w:r>
              <w:rPr>
                <w:iCs/>
              </w:rPr>
              <w:t xml:space="preserve">äkerställ att digital information </w:t>
            </w:r>
            <w:r w:rsidRPr="00672448">
              <w:rPr>
                <w:iCs/>
              </w:rPr>
              <w:t>finn</w:t>
            </w:r>
            <w:r>
              <w:rPr>
                <w:iCs/>
              </w:rPr>
              <w:t>s</w:t>
            </w:r>
            <w:r w:rsidRPr="00672448">
              <w:t xml:space="preserve"> </w:t>
            </w:r>
            <w:r>
              <w:t xml:space="preserve">tillgängligt på mottagning/avdelning i primärvården eller den </w:t>
            </w:r>
            <w:r w:rsidRPr="00672448">
              <w:t>slutna vården</w:t>
            </w:r>
            <w:r>
              <w:t xml:space="preserve"> (exempelvis i väntrum, under besöket eller vid utskrivning).</w:t>
            </w:r>
          </w:p>
          <w:p w14:paraId="4A377A85" w14:textId="77777777" w:rsidR="00C35C91" w:rsidRDefault="002E4BBA" w:rsidP="00C35C91">
            <w:pPr>
              <w:pStyle w:val="Liststycke"/>
              <w:spacing w:after="0"/>
            </w:pPr>
            <w:r>
              <w:t>Digital affisch G1b. Prov i vården sparas.</w:t>
            </w:r>
          </w:p>
          <w:p w14:paraId="6222B7B0" w14:textId="4D642FF6" w:rsidR="00B605B1" w:rsidRPr="00B53E45" w:rsidRDefault="00000000" w:rsidP="00C35C91">
            <w:hyperlink r:id="rId11" w:history="1">
              <w:r w:rsidR="002E4BBA" w:rsidRPr="00672448">
                <w:rPr>
                  <w:rStyle w:val="Hyperlnk"/>
                </w:rPr>
                <w:t>biobanksverige.se/dokument</w:t>
              </w:r>
            </w:hyperlink>
          </w:p>
        </w:tc>
        <w:tc>
          <w:tcPr>
            <w:tcW w:w="2125" w:type="dxa"/>
            <w:gridSpan w:val="2"/>
          </w:tcPr>
          <w:p w14:paraId="68EDC230" w14:textId="3341AD10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043F90D2" w14:textId="3D157090" w:rsidR="00B605B1" w:rsidRPr="00B53E45" w:rsidRDefault="00ED4AAB" w:rsidP="00B53E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6A8D3F60" w14:textId="77777777" w:rsidTr="004F0769">
        <w:trPr>
          <w:cantSplit/>
        </w:trPr>
        <w:sdt>
          <w:sdtPr>
            <w:id w:val="81414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5F2B47C4" w14:textId="1C17B125" w:rsidR="00B605B1" w:rsidRPr="00B53E45" w:rsidRDefault="00B605B1" w:rsidP="00B939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24419CBC" w14:textId="77777777" w:rsidR="00B939F9" w:rsidRPr="00B939F9" w:rsidRDefault="00B939F9" w:rsidP="00B939F9">
            <w:r w:rsidRPr="00B939F9">
              <w:rPr>
                <w:b/>
                <w:bCs/>
                <w:i/>
              </w:rPr>
              <w:t>Tryckt informationsmaterial till patienter/provgivare.</w:t>
            </w:r>
            <w:r w:rsidRPr="00B939F9">
              <w:rPr>
                <w:i/>
              </w:rPr>
              <w:t xml:space="preserve"> </w:t>
            </w:r>
            <w:r w:rsidRPr="00B939F9">
              <w:rPr>
                <w:iCs/>
              </w:rPr>
              <w:t>Säkerställ att informationsmaterial finns</w:t>
            </w:r>
            <w:r w:rsidRPr="00B939F9">
              <w:t xml:space="preserve"> tillgängligt på mottagning/avdelning i primärvården eller den slutna vården (exempelvis i väntrum, under besöket eller vid utskrivning).</w:t>
            </w:r>
          </w:p>
          <w:p w14:paraId="04269811" w14:textId="77777777" w:rsidR="00B939F9" w:rsidRPr="00B939F9" w:rsidRDefault="00B939F9" w:rsidP="004E3409">
            <w:pPr>
              <w:pStyle w:val="Liststycke"/>
            </w:pPr>
            <w:r w:rsidRPr="00B939F9">
              <w:t xml:space="preserve">Dokument G1, G1a. Prov i vården sparas. G1 finns även på engelska. </w:t>
            </w:r>
          </w:p>
          <w:p w14:paraId="57A46764" w14:textId="77777777" w:rsidR="00B939F9" w:rsidRPr="00B939F9" w:rsidRDefault="00B939F9" w:rsidP="004E3409">
            <w:pPr>
              <w:pStyle w:val="Liststycke"/>
            </w:pPr>
            <w:r w:rsidRPr="00B939F9">
              <w:t>Dokument G1c. Till dig som lämnar cellprov.</w:t>
            </w:r>
          </w:p>
          <w:p w14:paraId="591F4F67" w14:textId="77777777" w:rsidR="00B939F9" w:rsidRPr="00B939F9" w:rsidRDefault="00B939F9" w:rsidP="004E3409">
            <w:pPr>
              <w:pStyle w:val="Liststycke"/>
            </w:pPr>
            <w:r w:rsidRPr="00B939F9">
              <w:t>Dokument G1d. Till dig som lämnar mödravårdsprov.</w:t>
            </w:r>
          </w:p>
          <w:p w14:paraId="0488D825" w14:textId="213607B9" w:rsidR="00B605B1" w:rsidRPr="00B53E45" w:rsidRDefault="00000000" w:rsidP="00B939F9">
            <w:hyperlink r:id="rId12" w:history="1">
              <w:r w:rsidR="00B939F9" w:rsidRPr="00B939F9">
                <w:rPr>
                  <w:rStyle w:val="Hyperlnk"/>
                  <w:rFonts w:cstheme="minorBidi"/>
                </w:rPr>
                <w:t>biobanksverige.se/dokument</w:t>
              </w:r>
            </w:hyperlink>
          </w:p>
        </w:tc>
        <w:tc>
          <w:tcPr>
            <w:tcW w:w="2125" w:type="dxa"/>
            <w:gridSpan w:val="2"/>
          </w:tcPr>
          <w:p w14:paraId="10D8A889" w14:textId="366C01F8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62C63FDF" w14:textId="012E0F70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4AF6F68E" w14:textId="77777777" w:rsidTr="004F0769">
        <w:trPr>
          <w:cantSplit/>
        </w:trPr>
        <w:sdt>
          <w:sdtPr>
            <w:id w:val="109891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5B8054C8" w14:textId="4142E86E" w:rsidR="00B605B1" w:rsidRPr="00B53E45" w:rsidRDefault="00B605B1" w:rsidP="00B939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220670EF" w14:textId="0FD7EC44" w:rsidR="001A058B" w:rsidRDefault="001A058B" w:rsidP="001A058B">
            <w:r w:rsidRPr="001A058B">
              <w:rPr>
                <w:b/>
                <w:bCs/>
                <w:i/>
                <w:iCs/>
              </w:rPr>
              <w:t>Ändring av samtycke.</w:t>
            </w:r>
            <w:r>
              <w:t xml:space="preserve"> Säkerställ att information om ändring av samtycke finns tillgänglig vid förfrågan från patient/provgivare. </w:t>
            </w:r>
          </w:p>
          <w:p w14:paraId="39DFBF2F" w14:textId="5DB035F3" w:rsidR="001A058B" w:rsidRDefault="001A058B" w:rsidP="001A058B">
            <w:pPr>
              <w:pStyle w:val="Liststycke"/>
            </w:pPr>
            <w:r>
              <w:t xml:space="preserve">I flera regioner kan anmälan om ändring av samtycke göras digitalt via 1177s e-tjänst ”Ändring av </w:t>
            </w:r>
            <w:proofErr w:type="gramStart"/>
            <w:r>
              <w:t>samtycke prov</w:t>
            </w:r>
            <w:proofErr w:type="gramEnd"/>
            <w:r>
              <w:t xml:space="preserve"> i biobank”.</w:t>
            </w:r>
          </w:p>
          <w:p w14:paraId="087A9013" w14:textId="786A0BE4" w:rsidR="001A058B" w:rsidRDefault="001A058B" w:rsidP="001A058B">
            <w:pPr>
              <w:pStyle w:val="Liststycke"/>
            </w:pPr>
            <w:r>
              <w:t xml:space="preserve">Ändring av samtycke kan även göras via blankett E1, E1a eller E1b. E1 finns även på engelska. </w:t>
            </w:r>
          </w:p>
          <w:p w14:paraId="521FF1E7" w14:textId="2C8D7A66" w:rsidR="001A058B" w:rsidRDefault="00000000" w:rsidP="001A058B">
            <w:hyperlink r:id="rId13" w:history="1">
              <w:r w:rsidR="001A058B" w:rsidRPr="001A058B">
                <w:rPr>
                  <w:rStyle w:val="Hyperlnk"/>
                  <w:rFonts w:cstheme="minorBidi"/>
                </w:rPr>
                <w:t>biobanksverige.se/dokument</w:t>
              </w:r>
            </w:hyperlink>
          </w:p>
          <w:p w14:paraId="07E4B81C" w14:textId="2E900954" w:rsidR="00B605B1" w:rsidRPr="00B53E45" w:rsidRDefault="001A058B" w:rsidP="001A058B">
            <w:r w:rsidRPr="001A058B">
              <w:rPr>
                <w:i/>
                <w:iCs/>
              </w:rPr>
              <w:t>Notera att:</w:t>
            </w:r>
            <w:r>
              <w:t xml:space="preserve"> Om provgivaren anmäler att ett vårdprov ska förstöras men ej vill fylla i begäran digitalt eller på blanketten behöver det verkställas även om det inte är okomplicerat. Biobank Sverige har tagit fram rutin för aktuell situation, se vidare dokument D1.</w:t>
            </w:r>
          </w:p>
        </w:tc>
        <w:tc>
          <w:tcPr>
            <w:tcW w:w="2125" w:type="dxa"/>
            <w:gridSpan w:val="2"/>
          </w:tcPr>
          <w:p w14:paraId="6C77C2E4" w14:textId="7A229BC8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497C91EC" w14:textId="6485DB09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7AF1CDB9" w14:textId="77777777" w:rsidTr="004F0769">
        <w:trPr>
          <w:cantSplit/>
        </w:trPr>
        <w:sdt>
          <w:sdtPr>
            <w:id w:val="402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10CEA273" w14:textId="7C857559" w:rsidR="00B605B1" w:rsidRPr="00B53E45" w:rsidRDefault="00D84094" w:rsidP="00B939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3654DCDC" w14:textId="77777777" w:rsidR="00EA3C71" w:rsidRDefault="005D596F" w:rsidP="0082002C">
            <w:r w:rsidRPr="0082002C">
              <w:rPr>
                <w:b/>
                <w:bCs/>
                <w:i/>
              </w:rPr>
              <w:t>Utbildning av personal.</w:t>
            </w:r>
            <w:r w:rsidRPr="0082002C">
              <w:t xml:space="preserve"> Säkerställ att personal i vården går digitala utbildningar om biobankslagen. Utbildningarna finns i Biobank Sveriges lärportal.</w:t>
            </w:r>
          </w:p>
          <w:p w14:paraId="384A9DD5" w14:textId="77777777" w:rsidR="00B605B1" w:rsidRPr="0082002C" w:rsidRDefault="00000000" w:rsidP="0082002C">
            <w:pPr>
              <w:rPr>
                <w:i/>
              </w:rPr>
            </w:pPr>
            <w:hyperlink r:id="rId14" w:history="1">
              <w:r w:rsidR="005D596F" w:rsidRPr="00367C76">
                <w:rPr>
                  <w:rStyle w:val="Hyperlnk"/>
                  <w:szCs w:val="20"/>
                </w:rPr>
                <w:t>biobanksverige.se/utbildning</w:t>
              </w:r>
            </w:hyperlink>
            <w:r w:rsidR="005D596F" w:rsidRPr="00367C76">
              <w:rPr>
                <w:i/>
              </w:rPr>
              <w:t xml:space="preserve">  </w:t>
            </w:r>
            <w:r w:rsidR="005D596F" w:rsidRPr="00367C76">
              <w:t xml:space="preserve"> </w:t>
            </w:r>
          </w:p>
        </w:tc>
        <w:tc>
          <w:tcPr>
            <w:tcW w:w="2125" w:type="dxa"/>
            <w:gridSpan w:val="2"/>
          </w:tcPr>
          <w:p w14:paraId="2195BFE9" w14:textId="079D1E80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08F004B8" w14:textId="0F0A24BF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0BA3BCAD" w14:textId="77777777" w:rsidTr="004F0769">
        <w:trPr>
          <w:cantSplit/>
        </w:trPr>
        <w:sdt>
          <w:sdtPr>
            <w:id w:val="-123238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2447BF44" w14:textId="5C1C48D8" w:rsidR="00B605B1" w:rsidRPr="00B53E45" w:rsidRDefault="00B605B1" w:rsidP="00B939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0813DEEA" w14:textId="24D93AB8" w:rsidR="00050EDA" w:rsidRPr="00314C50" w:rsidRDefault="00050EDA" w:rsidP="0082002C">
            <w:r w:rsidRPr="0082002C">
              <w:rPr>
                <w:b/>
                <w:bCs/>
                <w:i/>
              </w:rPr>
              <w:t>Informationsmaterial till personal i vården.</w:t>
            </w:r>
            <w:r w:rsidRPr="0082002C">
              <w:rPr>
                <w:i/>
              </w:rPr>
              <w:t xml:space="preserve"> </w:t>
            </w:r>
          </w:p>
          <w:p w14:paraId="3994CBC0" w14:textId="79424EBD" w:rsidR="00050EDA" w:rsidRPr="00314C50" w:rsidRDefault="00050EDA" w:rsidP="00564924">
            <w:pPr>
              <w:pStyle w:val="Liststycke"/>
            </w:pPr>
            <w:r w:rsidRPr="00314C50">
              <w:t>Säkerställ att digital affisch H1a. Biobankslagen finns tillgänglig.</w:t>
            </w:r>
          </w:p>
          <w:p w14:paraId="1C595BE5" w14:textId="77777777" w:rsidR="00050EDA" w:rsidRPr="00314C50" w:rsidRDefault="00050EDA" w:rsidP="00564924">
            <w:pPr>
              <w:pStyle w:val="Liststycke"/>
              <w:rPr>
                <w:i/>
              </w:rPr>
            </w:pPr>
            <w:r w:rsidRPr="00672448">
              <w:t>Säker</w:t>
            </w:r>
            <w:r>
              <w:t>ställ att informationsbladet H1. Biobankslagen finns tillgängligt.</w:t>
            </w:r>
          </w:p>
          <w:p w14:paraId="6AD6C212" w14:textId="2B271D2F" w:rsidR="00B605B1" w:rsidRPr="00B53E45" w:rsidRDefault="00000000" w:rsidP="0082002C">
            <w:hyperlink r:id="rId15" w:history="1">
              <w:r w:rsidR="00050EDA" w:rsidRPr="00314C50">
                <w:rPr>
                  <w:rStyle w:val="Hyperlnk"/>
                  <w:iCs/>
                </w:rPr>
                <w:t xml:space="preserve">biobanksverige.se/dokument </w:t>
              </w:r>
            </w:hyperlink>
          </w:p>
        </w:tc>
        <w:tc>
          <w:tcPr>
            <w:tcW w:w="2125" w:type="dxa"/>
            <w:gridSpan w:val="2"/>
          </w:tcPr>
          <w:p w14:paraId="4BE026BF" w14:textId="0ACFA07D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713B511D" w14:textId="12ADCC71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B605B1" w14:paraId="444EA386" w14:textId="77777777" w:rsidTr="004F0769">
        <w:trPr>
          <w:cantSplit/>
        </w:trPr>
        <w:sdt>
          <w:sdtPr>
            <w:id w:val="151672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659B6D55" w14:textId="1C6925EB" w:rsidR="00B605B1" w:rsidRPr="00B53E45" w:rsidRDefault="00B605B1" w:rsidP="00B939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04B897ED" w14:textId="0FF66FCC" w:rsidR="00C42055" w:rsidRPr="00367C76" w:rsidRDefault="00C42055" w:rsidP="0082002C">
            <w:pPr>
              <w:rPr>
                <w:b/>
                <w:bCs/>
                <w:i/>
              </w:rPr>
            </w:pPr>
            <w:r w:rsidRPr="0082002C">
              <w:rPr>
                <w:b/>
                <w:bCs/>
                <w:i/>
              </w:rPr>
              <w:t xml:space="preserve">Hänvisning till 1177.se. </w:t>
            </w:r>
          </w:p>
          <w:p w14:paraId="38A9046A" w14:textId="2A7B391D" w:rsidR="00C42055" w:rsidRPr="0067057B" w:rsidRDefault="00C42055" w:rsidP="00804D51">
            <w:pPr>
              <w:pStyle w:val="Liststycke"/>
              <w:rPr>
                <w:b/>
                <w:bCs/>
                <w:i/>
              </w:rPr>
            </w:pPr>
            <w:r w:rsidRPr="0067057B">
              <w:t>Verksamheter i vården som tar prov uppmuntras att ha en hänvisning från sitt kontaktkort på 1177 till 1177s webbsida ”Prover i vården sparas”.</w:t>
            </w:r>
          </w:p>
          <w:p w14:paraId="75FB7BF4" w14:textId="7A829E7E" w:rsidR="00C42055" w:rsidRPr="00367C76" w:rsidRDefault="00C42055" w:rsidP="00804D51">
            <w:pPr>
              <w:pStyle w:val="Liststycke"/>
              <w:rPr>
                <w:b/>
                <w:bCs/>
                <w:i/>
              </w:rPr>
            </w:pPr>
            <w:r>
              <w:t xml:space="preserve">Verksamheter i vården som tar prov uppmuntras att ha en hänvisning </w:t>
            </w:r>
            <w:r w:rsidRPr="0067057B">
              <w:t>från den egen webbplatsen till 1177s</w:t>
            </w:r>
            <w:r>
              <w:t xml:space="preserve"> webbsida ”Prover i vården sparas”. </w:t>
            </w:r>
          </w:p>
          <w:p w14:paraId="0989B6DC" w14:textId="511318E4" w:rsidR="00B605B1" w:rsidRPr="00B53E45" w:rsidRDefault="00000000" w:rsidP="0082002C">
            <w:hyperlink r:id="rId16" w:history="1">
              <w:r w:rsidR="00C42055" w:rsidRPr="00D009E4">
                <w:rPr>
                  <w:rStyle w:val="Hyperlnk"/>
                </w:rPr>
                <w:t>1177.se – Prover i vården sparas</w:t>
              </w:r>
            </w:hyperlink>
          </w:p>
        </w:tc>
        <w:tc>
          <w:tcPr>
            <w:tcW w:w="2125" w:type="dxa"/>
            <w:gridSpan w:val="2"/>
          </w:tcPr>
          <w:p w14:paraId="0338C9B4" w14:textId="1AFD02D0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349E9F36" w14:textId="7E4F5424" w:rsidR="00B605B1" w:rsidRPr="00B53E45" w:rsidRDefault="00ED4AAB" w:rsidP="00B939F9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5E1007" w14:paraId="44846015" w14:textId="77777777" w:rsidTr="004F0769">
        <w:trPr>
          <w:cantSplit/>
          <w:trHeight w:val="833"/>
        </w:trPr>
        <w:sdt>
          <w:sdtPr>
            <w:id w:val="-94067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right w:val="nil"/>
                </w:tcBorders>
              </w:tcPr>
              <w:p w14:paraId="6D60A953" w14:textId="6AC9E737" w:rsidR="005E1007" w:rsidRDefault="005E1007" w:rsidP="005E10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5" w:type="dxa"/>
            <w:gridSpan w:val="2"/>
            <w:tcBorders>
              <w:left w:val="nil"/>
            </w:tcBorders>
          </w:tcPr>
          <w:p w14:paraId="304CBAAE" w14:textId="509EDA01" w:rsidR="005E1007" w:rsidRPr="0082002C" w:rsidRDefault="005E1007" w:rsidP="005E1007">
            <w:pPr>
              <w:rPr>
                <w:b/>
                <w:bCs/>
                <w:i/>
              </w:rPr>
            </w:pPr>
            <w:r w:rsidRPr="000C3C97">
              <w:rPr>
                <w:b/>
                <w:bCs/>
                <w:i/>
              </w:rPr>
              <w:t>Senaste versionerna av dokument</w:t>
            </w:r>
            <w:r w:rsidRPr="000C3C97">
              <w:rPr>
                <w:bCs/>
              </w:rPr>
              <w:t xml:space="preserve">. </w:t>
            </w:r>
            <w:r>
              <w:rPr>
                <w:bCs/>
              </w:rPr>
              <w:t>S</w:t>
            </w:r>
            <w:r w:rsidRPr="000C3C97">
              <w:rPr>
                <w:bCs/>
              </w:rPr>
              <w:t>äkerställa att de senaste versionerna av dokumenten alltid fin</w:t>
            </w:r>
            <w:r>
              <w:rPr>
                <w:bCs/>
              </w:rPr>
              <w:t>ns på mottagningen/avdelningen.</w:t>
            </w:r>
          </w:p>
        </w:tc>
        <w:tc>
          <w:tcPr>
            <w:tcW w:w="2125" w:type="dxa"/>
            <w:gridSpan w:val="2"/>
          </w:tcPr>
          <w:p w14:paraId="0AA283D9" w14:textId="33422397" w:rsidR="005E1007" w:rsidRPr="00B53E45" w:rsidRDefault="00ED4AAB" w:rsidP="005E1007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91" w:type="dxa"/>
          </w:tcPr>
          <w:p w14:paraId="17A8DF1F" w14:textId="3295030A" w:rsidR="005E1007" w:rsidRPr="00B53E45" w:rsidRDefault="00ED4AAB" w:rsidP="005E1007"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8F714A" w:rsidRPr="00517337" w14:paraId="3D2FDE61" w14:textId="77777777" w:rsidTr="004F0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0"/>
        </w:trPr>
        <w:tc>
          <w:tcPr>
            <w:tcW w:w="3214" w:type="dxa"/>
            <w:gridSpan w:val="2"/>
            <w:vAlign w:val="center"/>
          </w:tcPr>
          <w:p w14:paraId="30B13D3F" w14:textId="77777777" w:rsidR="008F714A" w:rsidRDefault="008F714A" w:rsidP="00BD6C3C">
            <w:pPr>
              <w:tabs>
                <w:tab w:val="center" w:pos="1094"/>
              </w:tabs>
              <w:rPr>
                <w:iCs/>
                <w:szCs w:val="20"/>
              </w:rPr>
            </w:pPr>
            <w:r w:rsidRPr="00D15B6B">
              <w:rPr>
                <w:rFonts w:asciiTheme="majorHAnsi" w:eastAsia="Times New Roman" w:hAnsiTheme="majorHAnsi" w:cstheme="majorHAnsi"/>
                <w:noProof/>
                <w:color w:val="002060"/>
                <w:sz w:val="22"/>
                <w:szCs w:val="22"/>
              </w:rPr>
              <w:drawing>
                <wp:anchor distT="0" distB="0" distL="0" distR="0" simplePos="0" relativeHeight="251665408" behindDoc="1" locked="0" layoutInCell="1" allowOverlap="1" wp14:anchorId="356E66B5" wp14:editId="18600ABB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226695</wp:posOffset>
                  </wp:positionV>
                  <wp:extent cx="1009015" cy="1009015"/>
                  <wp:effectExtent l="0" t="0" r="635" b="635"/>
                  <wp:wrapTight wrapText="bothSides">
                    <wp:wrapPolygon edited="0">
                      <wp:start x="0" y="0"/>
                      <wp:lineTo x="0" y="21206"/>
                      <wp:lineTo x="21206" y="21206"/>
                      <wp:lineTo x="21206" y="0"/>
                      <wp:lineTo x="0" y="0"/>
                    </wp:wrapPolygon>
                  </wp:wrapTight>
                  <wp:docPr id="616971704" name="Bildobjekt 61697170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71704" name="Bildobjekt 616971704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4" w:type="dxa"/>
            <w:gridSpan w:val="2"/>
            <w:vAlign w:val="center"/>
          </w:tcPr>
          <w:p w14:paraId="1A87620C" w14:textId="77777777" w:rsidR="008F714A" w:rsidRDefault="008F714A" w:rsidP="00BD6C3C">
            <w:pPr>
              <w:tabs>
                <w:tab w:val="center" w:pos="1094"/>
              </w:tabs>
              <w:rPr>
                <w:iCs/>
                <w:szCs w:val="20"/>
              </w:rPr>
            </w:pPr>
            <w:r w:rsidRPr="00D15B6B">
              <w:rPr>
                <w:rFonts w:asciiTheme="majorHAnsi" w:eastAsia="Times New Roman" w:hAnsiTheme="majorHAnsi" w:cstheme="majorHAnsi"/>
                <w:noProof/>
                <w:color w:val="002060"/>
                <w:sz w:val="22"/>
                <w:szCs w:val="22"/>
              </w:rPr>
              <w:drawing>
                <wp:anchor distT="0" distB="0" distL="0" distR="0" simplePos="0" relativeHeight="251663360" behindDoc="1" locked="0" layoutInCell="1" allowOverlap="1" wp14:anchorId="73484A2B" wp14:editId="3BF43003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263525</wp:posOffset>
                  </wp:positionV>
                  <wp:extent cx="932180" cy="932180"/>
                  <wp:effectExtent l="0" t="0" r="1270" b="1270"/>
                  <wp:wrapTight wrapText="bothSides">
                    <wp:wrapPolygon edited="0">
                      <wp:start x="0" y="0"/>
                      <wp:lineTo x="0" y="21188"/>
                      <wp:lineTo x="21188" y="21188"/>
                      <wp:lineTo x="21188" y="0"/>
                      <wp:lineTo x="0" y="0"/>
                    </wp:wrapPolygon>
                  </wp:wrapTight>
                  <wp:docPr id="92326468" name="Bildobjekt 9232646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13199" name="Bildobjekt 173513199">
                            <a:hlinkClick r:id="rId17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32180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4" w:type="dxa"/>
            <w:gridSpan w:val="2"/>
            <w:vAlign w:val="center"/>
          </w:tcPr>
          <w:p w14:paraId="56C916C3" w14:textId="77777777" w:rsidR="008F714A" w:rsidRDefault="008F714A" w:rsidP="00BD6C3C">
            <w:pPr>
              <w:tabs>
                <w:tab w:val="center" w:pos="1094"/>
              </w:tabs>
              <w:rPr>
                <w:iCs/>
                <w:szCs w:val="20"/>
              </w:rPr>
            </w:pPr>
            <w:r w:rsidRPr="00D15B6B">
              <w:rPr>
                <w:rFonts w:asciiTheme="majorHAnsi" w:eastAsia="Times New Roman" w:hAnsiTheme="majorHAnsi" w:cstheme="majorHAnsi"/>
                <w:noProof/>
                <w:color w:val="002060"/>
                <w:sz w:val="22"/>
                <w:szCs w:val="22"/>
              </w:rPr>
              <w:drawing>
                <wp:anchor distT="0" distB="0" distL="0" distR="0" simplePos="0" relativeHeight="251664384" behindDoc="1" locked="0" layoutInCell="1" allowOverlap="1" wp14:anchorId="6B2A659F" wp14:editId="3C243D3E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241300</wp:posOffset>
                  </wp:positionV>
                  <wp:extent cx="932180" cy="932180"/>
                  <wp:effectExtent l="0" t="0" r="1270" b="1270"/>
                  <wp:wrapTight wrapText="bothSides">
                    <wp:wrapPolygon edited="0">
                      <wp:start x="0" y="0"/>
                      <wp:lineTo x="0" y="21188"/>
                      <wp:lineTo x="21188" y="21188"/>
                      <wp:lineTo x="21188" y="0"/>
                      <wp:lineTo x="0" y="0"/>
                    </wp:wrapPolygon>
                  </wp:wrapTight>
                  <wp:docPr id="748443542" name="Bildobjekt 74844354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43542" name="Bildobjekt 748443542">
                            <a:hlinkClick r:id="rId17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32180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14A" w:rsidRPr="00517337" w14:paraId="0F7277E6" w14:textId="77777777" w:rsidTr="00047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3214" w:type="dxa"/>
            <w:gridSpan w:val="2"/>
          </w:tcPr>
          <w:p w14:paraId="70731477" w14:textId="79B12F5B" w:rsidR="008F714A" w:rsidRPr="00517337" w:rsidRDefault="008F714A" w:rsidP="000476D2">
            <w:pPr>
              <w:tabs>
                <w:tab w:val="center" w:pos="1094"/>
              </w:tabs>
              <w:jc w:val="center"/>
              <w:rPr>
                <w:iCs/>
                <w:szCs w:val="20"/>
              </w:rPr>
            </w:pPr>
            <w:r w:rsidRPr="00803412">
              <w:rPr>
                <w:iCs/>
                <w:szCs w:val="20"/>
              </w:rPr>
              <w:t>biobanksverige.se</w:t>
            </w:r>
          </w:p>
        </w:tc>
        <w:tc>
          <w:tcPr>
            <w:tcW w:w="3214" w:type="dxa"/>
            <w:gridSpan w:val="2"/>
          </w:tcPr>
          <w:p w14:paraId="09E50249" w14:textId="77777777" w:rsidR="008F714A" w:rsidRPr="00517337" w:rsidRDefault="008F714A" w:rsidP="000476D2">
            <w:pPr>
              <w:tabs>
                <w:tab w:val="center" w:pos="1094"/>
              </w:tabs>
              <w:jc w:val="center"/>
              <w:rPr>
                <w:iCs/>
                <w:szCs w:val="20"/>
              </w:rPr>
            </w:pPr>
            <w:r w:rsidRPr="00517337">
              <w:rPr>
                <w:iCs/>
                <w:szCs w:val="20"/>
              </w:rPr>
              <w:t>1177</w:t>
            </w:r>
            <w:r>
              <w:rPr>
                <w:iCs/>
                <w:szCs w:val="20"/>
              </w:rPr>
              <w:t xml:space="preserve">.se </w:t>
            </w:r>
            <w:r w:rsidRPr="00330B89">
              <w:rPr>
                <w:iCs/>
                <w:szCs w:val="20"/>
              </w:rPr>
              <w:t>–</w:t>
            </w:r>
            <w:r>
              <w:rPr>
                <w:iCs/>
                <w:szCs w:val="20"/>
              </w:rPr>
              <w:t xml:space="preserve"> prover </w:t>
            </w:r>
            <w:r>
              <w:rPr>
                <w:iCs/>
                <w:szCs w:val="20"/>
              </w:rPr>
              <w:br/>
              <w:t>i vården sparas</w:t>
            </w:r>
          </w:p>
        </w:tc>
        <w:tc>
          <w:tcPr>
            <w:tcW w:w="3214" w:type="dxa"/>
            <w:gridSpan w:val="2"/>
          </w:tcPr>
          <w:p w14:paraId="3195511C" w14:textId="77777777" w:rsidR="008F714A" w:rsidRPr="00517337" w:rsidRDefault="008F714A" w:rsidP="000476D2">
            <w:pPr>
              <w:tabs>
                <w:tab w:val="center" w:pos="1094"/>
              </w:tabs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1177.se </w:t>
            </w:r>
            <w:r w:rsidRPr="00330B89">
              <w:rPr>
                <w:iCs/>
                <w:szCs w:val="20"/>
              </w:rPr>
              <w:t>–</w:t>
            </w:r>
            <w:r>
              <w:rPr>
                <w:iCs/>
                <w:szCs w:val="20"/>
              </w:rPr>
              <w:t xml:space="preserve"> svenska lättläst</w:t>
            </w:r>
          </w:p>
        </w:tc>
      </w:tr>
    </w:tbl>
    <w:p w14:paraId="6C2F624D" w14:textId="77777777" w:rsidR="00F917D5" w:rsidRPr="00672448" w:rsidRDefault="00F917D5" w:rsidP="008F714A">
      <w:pPr>
        <w:pStyle w:val="Rubrik2"/>
        <w:rPr>
          <w:rFonts w:asciiTheme="majorHAnsi" w:eastAsia="Times New Roman" w:hAnsiTheme="majorHAnsi"/>
          <w:color w:val="002060"/>
          <w:sz w:val="28"/>
          <w:szCs w:val="28"/>
          <w:lang w:eastAsia="sv-SE"/>
        </w:rPr>
      </w:pPr>
      <w:r w:rsidRPr="00672448">
        <w:rPr>
          <w:rFonts w:eastAsia="Times New Roman"/>
          <w:lang w:eastAsia="sv-SE"/>
        </w:rPr>
        <w:t xml:space="preserve">Dokument med fördjupad information och </w:t>
      </w:r>
      <w:r>
        <w:rPr>
          <w:rFonts w:eastAsia="Times New Roman"/>
          <w:lang w:eastAsia="sv-SE"/>
        </w:rPr>
        <w:br/>
      </w:r>
      <w:r w:rsidRPr="00672448">
        <w:rPr>
          <w:rFonts w:eastAsia="Times New Roman"/>
          <w:lang w:eastAsia="sv-SE"/>
        </w:rPr>
        <w:t>handledning till personal</w:t>
      </w:r>
    </w:p>
    <w:p w14:paraId="70DB08F9" w14:textId="77777777" w:rsidR="00F917D5" w:rsidRPr="008F714A" w:rsidRDefault="00F917D5" w:rsidP="008F714A">
      <w:pPr>
        <w:pStyle w:val="Liststycke"/>
      </w:pPr>
      <w:r w:rsidRPr="008F714A">
        <w:t xml:space="preserve">C2a. Handledning och checklista för verksamhetschef </w:t>
      </w:r>
    </w:p>
    <w:p w14:paraId="1DF432F8" w14:textId="77777777" w:rsidR="00F917D5" w:rsidRPr="008F714A" w:rsidRDefault="00F917D5" w:rsidP="008F714A">
      <w:pPr>
        <w:pStyle w:val="Liststycke"/>
      </w:pPr>
      <w:r w:rsidRPr="008F714A">
        <w:t xml:space="preserve">C2c. Vägledning - beslut om att bevara prov mot vårdnadshavares vilja </w:t>
      </w:r>
    </w:p>
    <w:p w14:paraId="3C5406F8" w14:textId="77777777" w:rsidR="00F917D5" w:rsidRPr="008F714A" w:rsidRDefault="00F917D5" w:rsidP="008F714A">
      <w:pPr>
        <w:pStyle w:val="Liststycke"/>
      </w:pPr>
      <w:r w:rsidRPr="008F714A">
        <w:t xml:space="preserve">D1. Informations- och samtyckesordning </w:t>
      </w:r>
    </w:p>
    <w:p w14:paraId="7E9C3EBE" w14:textId="77777777" w:rsidR="00F917D5" w:rsidRPr="008F714A" w:rsidRDefault="00F917D5" w:rsidP="008F714A">
      <w:pPr>
        <w:pStyle w:val="Liststycke"/>
      </w:pPr>
      <w:r w:rsidRPr="008F714A">
        <w:t>H2. Handledning och checklista för personal vid vårdenhet</w:t>
      </w:r>
    </w:p>
    <w:p w14:paraId="4B1FF962" w14:textId="77777777" w:rsidR="00F917D5" w:rsidRPr="008F714A" w:rsidRDefault="00F917D5" w:rsidP="008F714A">
      <w:pPr>
        <w:pStyle w:val="Liststycke"/>
      </w:pPr>
      <w:r w:rsidRPr="008F714A">
        <w:t>H3a. Lathund för provtagande personal</w:t>
      </w:r>
    </w:p>
    <w:p w14:paraId="24AEEFE8" w14:textId="77777777" w:rsidR="00F917D5" w:rsidRPr="00A04985" w:rsidRDefault="00000000" w:rsidP="00A04985">
      <w:pPr>
        <w:rPr>
          <w:szCs w:val="20"/>
        </w:rPr>
      </w:pPr>
      <w:hyperlink r:id="rId21" w:history="1">
        <w:r w:rsidR="00F917D5" w:rsidRPr="00A04985">
          <w:rPr>
            <w:rStyle w:val="Hyperlnk"/>
            <w:szCs w:val="20"/>
          </w:rPr>
          <w:t>biobanksverige.se/dokument</w:t>
        </w:r>
      </w:hyperlink>
    </w:p>
    <w:p w14:paraId="66365FCF" w14:textId="59ED8CEB" w:rsidR="00F917D5" w:rsidRPr="008F714A" w:rsidRDefault="00F917D5" w:rsidP="00A04985">
      <w:pPr>
        <w:pStyle w:val="Liststycke"/>
        <w:spacing w:before="240"/>
      </w:pPr>
      <w:r w:rsidRPr="008F714A">
        <w:t xml:space="preserve">Presentation: Ny biobankslag </w:t>
      </w:r>
      <w:r w:rsidR="00A04985">
        <w:t>–</w:t>
      </w:r>
      <w:r w:rsidRPr="008F714A">
        <w:t xml:space="preserve"> information och samtycke</w:t>
      </w:r>
    </w:p>
    <w:p w14:paraId="6B3750C4" w14:textId="4E10083A" w:rsidR="003F7096" w:rsidRPr="00BD6C3C" w:rsidRDefault="00000000" w:rsidP="00B939F9">
      <w:pPr>
        <w:rPr>
          <w:rFonts w:asciiTheme="majorHAnsi" w:eastAsia="Times New Roman" w:hAnsiTheme="majorHAnsi" w:cstheme="majorHAnsi"/>
          <w:color w:val="002060"/>
          <w:szCs w:val="20"/>
          <w:lang w:eastAsia="sv-SE"/>
        </w:rPr>
      </w:pPr>
      <w:hyperlink r:id="rId22" w:history="1">
        <w:r w:rsidR="00F917D5" w:rsidRPr="00A04985">
          <w:rPr>
            <w:rStyle w:val="Hyperlnk"/>
            <w:szCs w:val="20"/>
          </w:rPr>
          <w:t>biobanksverige.se/biobankslagen</w:t>
        </w:r>
      </w:hyperlink>
    </w:p>
    <w:sectPr w:rsidR="003F7096" w:rsidRPr="00BD6C3C" w:rsidSect="005C015D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F5DE" w14:textId="77777777" w:rsidR="00830BBA" w:rsidRDefault="00830BBA" w:rsidP="00702A07">
      <w:r>
        <w:separator/>
      </w:r>
    </w:p>
    <w:p w14:paraId="0B441873" w14:textId="77777777" w:rsidR="00830BBA" w:rsidRDefault="00830BBA" w:rsidP="00702A07"/>
    <w:p w14:paraId="4E6A9C3D" w14:textId="77777777" w:rsidR="00830BBA" w:rsidRDefault="00830BBA" w:rsidP="00702A07"/>
    <w:p w14:paraId="6AF8AD4B" w14:textId="77777777" w:rsidR="00830BBA" w:rsidRDefault="00830BBA" w:rsidP="00702A07"/>
    <w:p w14:paraId="611D0DFB" w14:textId="77777777" w:rsidR="00830BBA" w:rsidRDefault="00830BBA" w:rsidP="00702A07"/>
    <w:p w14:paraId="32AE3A37" w14:textId="77777777" w:rsidR="00830BBA" w:rsidRDefault="00830BBA" w:rsidP="00702A07"/>
    <w:p w14:paraId="60FC1643" w14:textId="77777777" w:rsidR="00830BBA" w:rsidRDefault="00830BBA" w:rsidP="00702A07"/>
  </w:endnote>
  <w:endnote w:type="continuationSeparator" w:id="0">
    <w:p w14:paraId="0695774C" w14:textId="77777777" w:rsidR="00830BBA" w:rsidRDefault="00830BBA" w:rsidP="00702A07">
      <w:r>
        <w:continuationSeparator/>
      </w:r>
    </w:p>
    <w:p w14:paraId="2F0E57C8" w14:textId="77777777" w:rsidR="00830BBA" w:rsidRDefault="00830BBA" w:rsidP="00702A07"/>
    <w:p w14:paraId="544A5DD6" w14:textId="77777777" w:rsidR="00830BBA" w:rsidRDefault="00830BBA" w:rsidP="00702A07"/>
    <w:p w14:paraId="43FEADD6" w14:textId="77777777" w:rsidR="00830BBA" w:rsidRDefault="00830BBA" w:rsidP="00702A07"/>
    <w:p w14:paraId="1C5FD571" w14:textId="77777777" w:rsidR="00830BBA" w:rsidRDefault="00830BBA" w:rsidP="00702A07"/>
    <w:p w14:paraId="238C1CB4" w14:textId="77777777" w:rsidR="00830BBA" w:rsidRDefault="00830BBA" w:rsidP="00702A07"/>
    <w:p w14:paraId="5135F843" w14:textId="77777777" w:rsidR="00830BBA" w:rsidRDefault="00830BBA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7409E53B" w:rsidR="00BE011B" w:rsidRDefault="00BE011B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246BEC2C">
              <wp:simplePos x="0" y="0"/>
              <wp:positionH relativeFrom="page">
                <wp:posOffset>0</wp:posOffset>
              </wp:positionH>
              <wp:positionV relativeFrom="page">
                <wp:posOffset>10093135</wp:posOffset>
              </wp:positionV>
              <wp:extent cx="7560000" cy="432000"/>
              <wp:effectExtent l="0" t="0" r="3175" b="635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B04ADE" id="Rektangel 10" o:spid="_x0000_s1026" style="position:absolute;margin-left:0;margin-top:794.75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" fillcolor="#9184be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33328881">
              <wp:simplePos x="0" y="0"/>
              <wp:positionH relativeFrom="page">
                <wp:posOffset>4868</wp:posOffset>
              </wp:positionH>
              <wp:positionV relativeFrom="page">
                <wp:posOffset>10515812</wp:posOffset>
              </wp:positionV>
              <wp:extent cx="7560000" cy="180000"/>
              <wp:effectExtent l="0" t="0" r="0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E25A4" id="Rektangel 11" o:spid="_x0000_s1026" style="position:absolute;margin-left:.4pt;margin-top:828pt;width:595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Cb29ao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3D5FBB9">
              <wp:simplePos x="0" y="0"/>
              <wp:positionH relativeFrom="page">
                <wp:posOffset>0</wp:posOffset>
              </wp:positionH>
              <wp:positionV relativeFrom="page">
                <wp:posOffset>10512848</wp:posOffset>
              </wp:positionV>
              <wp:extent cx="7560000" cy="180000"/>
              <wp:effectExtent l="0" t="0" r="0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85DE7" id="Rektangel 9" o:spid="_x0000_s1026" style="position:absolute;margin-left:0;margin-top:827.8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Ad1fQ5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02CF9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B12A" w14:textId="77777777" w:rsidR="00830BBA" w:rsidRDefault="00830BBA" w:rsidP="00923128">
      <w:pPr>
        <w:spacing w:before="100" w:after="0"/>
      </w:pPr>
      <w:r>
        <w:separator/>
      </w:r>
    </w:p>
  </w:footnote>
  <w:footnote w:type="continuationSeparator" w:id="0">
    <w:p w14:paraId="625F7D3A" w14:textId="77777777" w:rsidR="00830BBA" w:rsidRDefault="00830BBA" w:rsidP="0070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26A55CFF" w:rsidR="00215DED" w:rsidRPr="00215DE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000000">
                                <w:fldChar w:fldCharType="begin"/>
                              </w:r>
                              <w:r w:rsidR="00000000">
                                <w:instrText>NUMPAGES  \* Arabic  \* MERGEFORMAT</w:instrText>
                              </w:r>
                              <w:r w:rsidR="00000000">
                                <w:fldChar w:fldCharType="separate"/>
                              </w:r>
                              <w:r>
                                <w:t>2</w:t>
                              </w:r>
                              <w:r w:rsidR="00000000"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000000">
                          <w:fldChar w:fldCharType="begin"/>
                        </w:r>
                        <w:r w:rsidR="00000000">
                          <w:instrText>NUMPAGES  \* Arabic  \* MERGEFORMAT</w:instrText>
                        </w:r>
                        <w:r w:rsidR="00000000">
                          <w:fldChar w:fldCharType="separate"/>
                        </w:r>
                        <w:r>
                          <w:t>2</w:t>
                        </w:r>
                        <w:r w:rsidR="00000000"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DB65A0">
      <w:t>C2a1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AA0C08">
      <w:t>1</w:t>
    </w:r>
    <w:r w:rsidR="00DB65A0">
      <w:t>0</w:t>
    </w:r>
    <w:r w:rsidR="00AA0C08">
      <w:t>.0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438380A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C77CEB">
                            <w:t>C</w:t>
                          </w:r>
                          <w:r w:rsidR="00FC0068">
                            <w:t>2a1. Checklista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FC0068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FC0068">
                            <w:t>4</w:t>
                          </w:r>
                          <w:r w:rsidRPr="00BE27F4">
                            <w:t>-</w:t>
                          </w:r>
                          <w:r w:rsidR="00DB65A0">
                            <w:t>12</w:t>
                          </w:r>
                          <w:r w:rsidRPr="00BE27F4">
                            <w:t>-</w:t>
                          </w:r>
                          <w:r w:rsidR="00DB65A0">
                            <w:t>09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25981855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DB65A0">
                            <w:t>Ledningsgruppen</w:t>
                          </w:r>
                          <w:r w:rsidRPr="00BE27F4">
                            <w:t xml:space="preserve"> på uppdrag av styrgrupp </w:t>
                          </w:r>
                          <w:r w:rsidR="00DB65A0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438380A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C77CEB">
                      <w:t>C</w:t>
                    </w:r>
                    <w:r w:rsidR="00FC0068">
                      <w:t>2a1. Checklista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FC0068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FC0068">
                      <w:t>4</w:t>
                    </w:r>
                    <w:r w:rsidRPr="00BE27F4">
                      <w:t>-</w:t>
                    </w:r>
                    <w:r w:rsidR="00DB65A0">
                      <w:t>12</w:t>
                    </w:r>
                    <w:r w:rsidRPr="00BE27F4">
                      <w:t>-</w:t>
                    </w:r>
                    <w:r w:rsidR="00DB65A0">
                      <w:t>09</w:t>
                    </w:r>
                    <w:r w:rsidRPr="00BE27F4">
                      <w:t xml:space="preserve">   </w:t>
                    </w:r>
                  </w:p>
                  <w:p w14:paraId="11EE4768" w14:textId="25981855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DB65A0">
                      <w:t>Ledningsgruppen</w:t>
                    </w:r>
                    <w:r w:rsidRPr="00BE27F4">
                      <w:t xml:space="preserve"> på uppdrag av styrgrupp </w:t>
                    </w:r>
                    <w:r w:rsidR="00DB65A0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A65A28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000000">
                                <w:fldChar w:fldCharType="begin"/>
                              </w:r>
                              <w:r w:rsidR="00000000">
                                <w:instrText>NUMPAGES  \* Arabic  \* MERGEFORMAT</w:instrText>
                              </w:r>
                              <w:r w:rsidR="00000000">
                                <w:fldChar w:fldCharType="separate"/>
                              </w:r>
                              <w:r>
                                <w:t>2</w:t>
                              </w:r>
                              <w:r w:rsidR="00000000"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000000">
                          <w:fldChar w:fldCharType="begin"/>
                        </w:r>
                        <w:r w:rsidR="00000000">
                          <w:instrText>NUMPAGES  \* Arabic  \* MERGEFORMAT</w:instrText>
                        </w:r>
                        <w:r w:rsidR="00000000">
                          <w:fldChar w:fldCharType="separate"/>
                        </w:r>
                        <w:r>
                          <w:t>2</w:t>
                        </w:r>
                        <w:r w:rsidR="00000000"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2A9D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1136B79E"/>
    <w:lvl w:ilvl="0" w:tplc="176E598A">
      <w:start w:val="1"/>
      <w:numFmt w:val="bullet"/>
      <w:pStyle w:val="Liststyck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2445"/>
    <w:multiLevelType w:val="hybridMultilevel"/>
    <w:tmpl w:val="41BE8BDE"/>
    <w:lvl w:ilvl="0" w:tplc="969A073C">
      <w:start w:val="1177"/>
      <w:numFmt w:val="bullet"/>
      <w:lvlText w:val="-"/>
      <w:lvlJc w:val="left"/>
      <w:pPr>
        <w:ind w:left="720" w:hanging="360"/>
      </w:pPr>
      <w:rPr>
        <w:rFonts w:ascii="PT Sans" w:eastAsia="MS Mincho" w:hAnsi="PT San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0CFE"/>
    <w:multiLevelType w:val="hybridMultilevel"/>
    <w:tmpl w:val="50BCA32E"/>
    <w:lvl w:ilvl="0" w:tplc="EC2E3342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C207D8"/>
    <w:multiLevelType w:val="hybridMultilevel"/>
    <w:tmpl w:val="174AF5FA"/>
    <w:lvl w:ilvl="0" w:tplc="969A073C">
      <w:start w:val="1177"/>
      <w:numFmt w:val="bullet"/>
      <w:lvlText w:val="-"/>
      <w:lvlJc w:val="left"/>
      <w:pPr>
        <w:ind w:left="720" w:hanging="360"/>
      </w:pPr>
      <w:rPr>
        <w:rFonts w:ascii="PT Sans" w:eastAsia="MS Mincho" w:hAnsi="PT San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05D83"/>
    <w:multiLevelType w:val="hybridMultilevel"/>
    <w:tmpl w:val="77463A86"/>
    <w:lvl w:ilvl="0" w:tplc="969A073C">
      <w:start w:val="1177"/>
      <w:numFmt w:val="bullet"/>
      <w:lvlText w:val="-"/>
      <w:lvlJc w:val="left"/>
      <w:pPr>
        <w:ind w:left="720" w:hanging="360"/>
      </w:pPr>
      <w:rPr>
        <w:rFonts w:ascii="PT Sans" w:eastAsia="MS Mincho" w:hAnsi="PT San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E6A6E"/>
    <w:multiLevelType w:val="hybridMultilevel"/>
    <w:tmpl w:val="FFCE4F5E"/>
    <w:lvl w:ilvl="0" w:tplc="969A073C">
      <w:start w:val="1177"/>
      <w:numFmt w:val="bullet"/>
      <w:lvlText w:val="-"/>
      <w:lvlJc w:val="left"/>
      <w:pPr>
        <w:ind w:left="720" w:hanging="360"/>
      </w:pPr>
      <w:rPr>
        <w:rFonts w:ascii="PT Sans" w:eastAsia="MS Mincho" w:hAnsi="PT San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7576">
    <w:abstractNumId w:val="11"/>
  </w:num>
  <w:num w:numId="2" w16cid:durableId="1395161997">
    <w:abstractNumId w:val="3"/>
  </w:num>
  <w:num w:numId="3" w16cid:durableId="1141653559">
    <w:abstractNumId w:val="6"/>
  </w:num>
  <w:num w:numId="4" w16cid:durableId="1778594680">
    <w:abstractNumId w:val="15"/>
  </w:num>
  <w:num w:numId="5" w16cid:durableId="1679308266">
    <w:abstractNumId w:val="12"/>
  </w:num>
  <w:num w:numId="6" w16cid:durableId="233011332">
    <w:abstractNumId w:val="5"/>
  </w:num>
  <w:num w:numId="7" w16cid:durableId="162861919">
    <w:abstractNumId w:val="10"/>
  </w:num>
  <w:num w:numId="8" w16cid:durableId="1927643021">
    <w:abstractNumId w:val="1"/>
  </w:num>
  <w:num w:numId="9" w16cid:durableId="68618795">
    <w:abstractNumId w:val="2"/>
  </w:num>
  <w:num w:numId="10" w16cid:durableId="1935935849">
    <w:abstractNumId w:val="0"/>
  </w:num>
  <w:num w:numId="11" w16cid:durableId="1107888634">
    <w:abstractNumId w:val="4"/>
  </w:num>
  <w:num w:numId="12" w16cid:durableId="1554661334">
    <w:abstractNumId w:val="8"/>
  </w:num>
  <w:num w:numId="13" w16cid:durableId="2096589381">
    <w:abstractNumId w:val="14"/>
  </w:num>
  <w:num w:numId="14" w16cid:durableId="838736409">
    <w:abstractNumId w:val="13"/>
  </w:num>
  <w:num w:numId="15" w16cid:durableId="1348604308">
    <w:abstractNumId w:val="7"/>
  </w:num>
  <w:num w:numId="16" w16cid:durableId="72092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ufY5D32hXGCQ2VnJ4trDoMdBjjPDYBJSW48bC8uot2sOkjDzQ+mPJB9j/1pqgq3OlXmG6UJ+YJoV/UZyT+OA==" w:salt="YhXVkcdeyV3zZzdofvT+j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0450A"/>
    <w:rsid w:val="00006F46"/>
    <w:rsid w:val="00007DC3"/>
    <w:rsid w:val="00034665"/>
    <w:rsid w:val="000476D2"/>
    <w:rsid w:val="00050EDA"/>
    <w:rsid w:val="00070331"/>
    <w:rsid w:val="00073B5B"/>
    <w:rsid w:val="00074BFD"/>
    <w:rsid w:val="001257DD"/>
    <w:rsid w:val="00147E54"/>
    <w:rsid w:val="00147EDD"/>
    <w:rsid w:val="001A058B"/>
    <w:rsid w:val="001A6AF6"/>
    <w:rsid w:val="001C1C14"/>
    <w:rsid w:val="001E731B"/>
    <w:rsid w:val="00215DED"/>
    <w:rsid w:val="00234B1E"/>
    <w:rsid w:val="002520D5"/>
    <w:rsid w:val="002859C0"/>
    <w:rsid w:val="002A3011"/>
    <w:rsid w:val="002B19E3"/>
    <w:rsid w:val="002B260D"/>
    <w:rsid w:val="002C5463"/>
    <w:rsid w:val="002D005F"/>
    <w:rsid w:val="002E4BBA"/>
    <w:rsid w:val="002F5841"/>
    <w:rsid w:val="002F7C4D"/>
    <w:rsid w:val="00306DEB"/>
    <w:rsid w:val="003155BF"/>
    <w:rsid w:val="0032455C"/>
    <w:rsid w:val="0033297A"/>
    <w:rsid w:val="0037217D"/>
    <w:rsid w:val="0037629F"/>
    <w:rsid w:val="00383F8A"/>
    <w:rsid w:val="00386DAE"/>
    <w:rsid w:val="00391835"/>
    <w:rsid w:val="003A3E7C"/>
    <w:rsid w:val="003B2667"/>
    <w:rsid w:val="003B2EF7"/>
    <w:rsid w:val="003C7D9C"/>
    <w:rsid w:val="003F7096"/>
    <w:rsid w:val="004105B1"/>
    <w:rsid w:val="004471D3"/>
    <w:rsid w:val="0046744A"/>
    <w:rsid w:val="00487B6D"/>
    <w:rsid w:val="00493FC8"/>
    <w:rsid w:val="004A4CEA"/>
    <w:rsid w:val="004D0091"/>
    <w:rsid w:val="004E22AF"/>
    <w:rsid w:val="004E3409"/>
    <w:rsid w:val="004F0769"/>
    <w:rsid w:val="004F63DE"/>
    <w:rsid w:val="005201D8"/>
    <w:rsid w:val="00563C0B"/>
    <w:rsid w:val="00564924"/>
    <w:rsid w:val="005766AE"/>
    <w:rsid w:val="00584185"/>
    <w:rsid w:val="005854FE"/>
    <w:rsid w:val="00593ACA"/>
    <w:rsid w:val="005A7CE4"/>
    <w:rsid w:val="005C015D"/>
    <w:rsid w:val="005D0C60"/>
    <w:rsid w:val="005D596F"/>
    <w:rsid w:val="005E1007"/>
    <w:rsid w:val="005F2A6A"/>
    <w:rsid w:val="005F7DAF"/>
    <w:rsid w:val="00605A88"/>
    <w:rsid w:val="006068B2"/>
    <w:rsid w:val="006754C0"/>
    <w:rsid w:val="0069139A"/>
    <w:rsid w:val="00696A51"/>
    <w:rsid w:val="006A25BC"/>
    <w:rsid w:val="006E2C1E"/>
    <w:rsid w:val="00702A07"/>
    <w:rsid w:val="007076C1"/>
    <w:rsid w:val="00710D98"/>
    <w:rsid w:val="00713133"/>
    <w:rsid w:val="00747159"/>
    <w:rsid w:val="0075742C"/>
    <w:rsid w:val="007861FC"/>
    <w:rsid w:val="007A19E7"/>
    <w:rsid w:val="007D2262"/>
    <w:rsid w:val="007E4CE6"/>
    <w:rsid w:val="007F2199"/>
    <w:rsid w:val="00804D51"/>
    <w:rsid w:val="008119A4"/>
    <w:rsid w:val="00813DCA"/>
    <w:rsid w:val="008163F4"/>
    <w:rsid w:val="0082002C"/>
    <w:rsid w:val="00830BBA"/>
    <w:rsid w:val="00836B28"/>
    <w:rsid w:val="00853A40"/>
    <w:rsid w:val="0086541E"/>
    <w:rsid w:val="00873324"/>
    <w:rsid w:val="008F0CC0"/>
    <w:rsid w:val="008F5919"/>
    <w:rsid w:val="008F714A"/>
    <w:rsid w:val="00905919"/>
    <w:rsid w:val="00923128"/>
    <w:rsid w:val="00947F7D"/>
    <w:rsid w:val="00954B24"/>
    <w:rsid w:val="00960BA1"/>
    <w:rsid w:val="009614EA"/>
    <w:rsid w:val="009807C0"/>
    <w:rsid w:val="00994104"/>
    <w:rsid w:val="00994C4E"/>
    <w:rsid w:val="009C0D70"/>
    <w:rsid w:val="00A04985"/>
    <w:rsid w:val="00A05292"/>
    <w:rsid w:val="00A311AF"/>
    <w:rsid w:val="00A67DA8"/>
    <w:rsid w:val="00A83EEB"/>
    <w:rsid w:val="00A86D37"/>
    <w:rsid w:val="00A96D73"/>
    <w:rsid w:val="00AA0C08"/>
    <w:rsid w:val="00AA5EBD"/>
    <w:rsid w:val="00AA70AD"/>
    <w:rsid w:val="00AB28BF"/>
    <w:rsid w:val="00AB5168"/>
    <w:rsid w:val="00AF0700"/>
    <w:rsid w:val="00B03EED"/>
    <w:rsid w:val="00B53E45"/>
    <w:rsid w:val="00B605B1"/>
    <w:rsid w:val="00B70035"/>
    <w:rsid w:val="00B939F9"/>
    <w:rsid w:val="00BD6C3C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35C91"/>
    <w:rsid w:val="00C40288"/>
    <w:rsid w:val="00C42055"/>
    <w:rsid w:val="00C662A6"/>
    <w:rsid w:val="00C773E5"/>
    <w:rsid w:val="00C77CEB"/>
    <w:rsid w:val="00C92FD3"/>
    <w:rsid w:val="00CA4F42"/>
    <w:rsid w:val="00CD23BD"/>
    <w:rsid w:val="00D30ECF"/>
    <w:rsid w:val="00D80916"/>
    <w:rsid w:val="00D84094"/>
    <w:rsid w:val="00D87EAA"/>
    <w:rsid w:val="00DB65A0"/>
    <w:rsid w:val="00DC00E5"/>
    <w:rsid w:val="00E86327"/>
    <w:rsid w:val="00E86465"/>
    <w:rsid w:val="00E87A11"/>
    <w:rsid w:val="00E92908"/>
    <w:rsid w:val="00EA01B5"/>
    <w:rsid w:val="00EA3C71"/>
    <w:rsid w:val="00EA412A"/>
    <w:rsid w:val="00EB02ED"/>
    <w:rsid w:val="00EB1A19"/>
    <w:rsid w:val="00EB5F3E"/>
    <w:rsid w:val="00EC31A1"/>
    <w:rsid w:val="00ED4AAB"/>
    <w:rsid w:val="00F12432"/>
    <w:rsid w:val="00F3311D"/>
    <w:rsid w:val="00F33944"/>
    <w:rsid w:val="00F72E6B"/>
    <w:rsid w:val="00F76C0A"/>
    <w:rsid w:val="00F917D5"/>
    <w:rsid w:val="00FC0068"/>
    <w:rsid w:val="00FC5D7A"/>
    <w:rsid w:val="00FD2ECD"/>
    <w:rsid w:val="00FD6383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CA"/>
    <w:pPr>
      <w:spacing w:before="120" w:after="120"/>
    </w:pPr>
    <w:rPr>
      <w:rFonts w:ascii="PT Sans" w:hAnsi="PT Sans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2455C"/>
    <w:pPr>
      <w:keepNext/>
      <w:keepLines/>
      <w:spacing w:before="24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455C"/>
    <w:rPr>
      <w:rFonts w:ascii="PT Sans" w:eastAsiaTheme="majorEastAsia" w:hAnsi="PT Sans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qFormat/>
    <w:rsid w:val="00AB5168"/>
    <w:pPr>
      <w:numPr>
        <w:numId w:val="2"/>
      </w:numPr>
      <w:ind w:left="357" w:hanging="357"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5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B53E45"/>
    <w:pPr>
      <w:spacing w:after="100"/>
    </w:pPr>
  </w:style>
  <w:style w:type="paragraph" w:customStyle="1" w:styleId="Tabell-titelbaseradpR2">
    <w:name w:val="Tabell-titel (baserad på R2)"/>
    <w:qFormat/>
    <w:rsid w:val="004471D3"/>
    <w:pPr>
      <w:spacing w:before="120" w:after="60"/>
    </w:pPr>
    <w:rPr>
      <w:rFonts w:ascii="PT Sans" w:eastAsiaTheme="majorEastAsia" w:hAnsi="PT Sans" w:cs="Arial"/>
      <w:b/>
      <w:bCs/>
      <w:color w:val="000000" w:themeColor="text1"/>
      <w:sz w:val="28"/>
      <w:szCs w:val="36"/>
    </w:rPr>
  </w:style>
  <w:style w:type="paragraph" w:customStyle="1" w:styleId="TabellrubrikbaseradpR3">
    <w:name w:val="Tabell rubrik (baserad på R3)"/>
    <w:qFormat/>
    <w:rsid w:val="00947F7D"/>
    <w:pPr>
      <w:keepNext/>
      <w:spacing w:before="140" w:after="60"/>
    </w:pPr>
    <w:rPr>
      <w:rFonts w:ascii="PT Sans" w:hAnsi="PT Sans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5854FE"/>
    <w:pPr>
      <w:spacing w:after="120" w:line="288" w:lineRule="auto"/>
    </w:pPr>
    <w:rPr>
      <w:rFonts w:ascii="PT Sans" w:hAnsi="PT Sans"/>
      <w:sz w:val="20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D005F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005F"/>
    <w:rPr>
      <w:rFonts w:ascii="Arial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005F"/>
    <w:rPr>
      <w:vertAlign w:val="superscript"/>
    </w:rPr>
  </w:style>
  <w:style w:type="character" w:styleId="Hyperlnk">
    <w:name w:val="Hyperlink"/>
    <w:uiPriority w:val="99"/>
    <w:rsid w:val="00EB02ED"/>
    <w:rPr>
      <w:rFonts w:cs="Times New Roman"/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dokument/" TargetMode="External"/><Relationship Id="rId13" Type="http://schemas.openxmlformats.org/officeDocument/2006/relationships/hyperlink" Target="https://biobanksverige.se/dokument/" TargetMode="External"/><Relationship Id="rId18" Type="http://schemas.openxmlformats.org/officeDocument/2006/relationships/image" Target="media/image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biobanksverige.se/dok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obanksverige.se/dokument/" TargetMode="External"/><Relationship Id="rId17" Type="http://schemas.openxmlformats.org/officeDocument/2006/relationships/hyperlink" Target="https://www.1177.se/sa-fungerar-varden/lagar-och-bestammelser/lagar-i-varden/prover-i-varden-spara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1177.se/Halland/sa-fungerar-varden/lagar-och-bestammelser/lagar-i-varden/prover-i-varden-sparas/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banksverige.se/dokument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biobanksverige.se/dokument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biobanksverige.se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1177.se/Halland/sa-fungerar-varden/lagar-och-bestammelser/lagar-i-varden/prover-i-varden-sparas/" TargetMode="External"/><Relationship Id="rId14" Type="http://schemas.openxmlformats.org/officeDocument/2006/relationships/hyperlink" Target="https://biobanksverige.se/utbildning/" TargetMode="External"/><Relationship Id="rId22" Type="http://schemas.openxmlformats.org/officeDocument/2006/relationships/hyperlink" Target="https://biobanksverige.se/biobankslagen/" TargetMode="External"/><Relationship Id="rId27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D24538-59C2-E744-BF6A-F36F754B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105</cp:revision>
  <dcterms:created xsi:type="dcterms:W3CDTF">2022-09-14T11:46:00Z</dcterms:created>
  <dcterms:modified xsi:type="dcterms:W3CDTF">2024-12-12T07:43:00Z</dcterms:modified>
</cp:coreProperties>
</file>